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INVITATION FOR EXPRESSION OF INTEREST</w:t>
      </w:r>
    </w:p>
    <w:p w:rsidR="00000000" w:rsidDel="00000000" w:rsidP="00000000" w:rsidRDefault="00000000" w:rsidRPr="00000000" w14:paraId="00000002">
      <w:pPr>
        <w:spacing w:line="36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DREAM PROCON PRIVATE LIMITED</w:t>
      </w:r>
    </w:p>
    <w:p w:rsidR="00000000" w:rsidDel="00000000" w:rsidP="00000000" w:rsidRDefault="00000000" w:rsidRPr="00000000" w14:paraId="00000003">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(Undergoing Corporate Insolvency Resolution Process under Provisions of Insolvency &amp; Bankruptcy Code, 2016)</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BRIEF PROFILE OF CORPORATE DEBTOR</w:t>
      </w:r>
      <w:r w:rsidDel="00000000" w:rsidR="00000000" w:rsidRPr="00000000">
        <w:rPr>
          <w:rtl w:val="0"/>
        </w:rPr>
      </w:r>
    </w:p>
    <w:p w:rsidR="00000000" w:rsidDel="00000000" w:rsidP="00000000" w:rsidRDefault="00000000" w:rsidRPr="00000000" w14:paraId="00000006">
      <w:pPr>
        <w:widowControl w:val="1"/>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Dream Procon Private. Ltd.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DPPL/Corporate Debtor’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incorporated on 25</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2011, is a private limited company having its registered office at 811, 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Floor, Krishna Apra Plaza, Tower-1, Netaji Subhash Place, Pitampura, Delhi, New Delhi DL 110034 IN The Corporate Debtor is one of the recognizable developer in residential projects;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overview of Corporate Debtor:</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7795.999999999999" w:type="dxa"/>
        <w:jc w:val="left"/>
        <w:tblInd w:w="13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5244"/>
        <w:tblGridChange w:id="0">
          <w:tblGrid>
            <w:gridCol w:w="2552"/>
            <w:gridCol w:w="5244"/>
          </w:tblGrid>
        </w:tblGridChange>
      </w:tblGrid>
      <w:tr>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Name</w:t>
            </w:r>
          </w:p>
        </w:tc>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Dream Procon Pvt. Ltd.</w:t>
            </w:r>
          </w:p>
        </w:tc>
      </w:tr>
      <w:t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RoC Jurisdiction</w:t>
            </w:r>
          </w:p>
        </w:tc>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Delhi</w:t>
            </w:r>
          </w:p>
        </w:tc>
      </w:tr>
      <w:tr>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Listing status</w:t>
            </w:r>
          </w:p>
        </w:tc>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Unlisted</w:t>
            </w:r>
          </w:p>
        </w:tc>
      </w:tr>
      <w:tr>
        <w:tc>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w:t>
            </w:r>
          </w:p>
        </w:tc>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Private</w:t>
            </w:r>
          </w:p>
        </w:tc>
      </w:tr>
      <w:tr>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Authorized Capital (Rs.)</w:t>
            </w:r>
          </w:p>
        </w:tc>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20000000</w:t>
            </w:r>
          </w:p>
        </w:tc>
      </w:tr>
      <w:tr>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Paid Up Capital (Rs.)</w:t>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10100000</w:t>
            </w:r>
          </w:p>
        </w:tc>
      </w:tr>
      <w:tr>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Office</w:t>
            </w:r>
          </w:p>
        </w:tc>
        <w:tc>
          <w:tcPr/>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811, 8TH FLOOR,KRISHNA APRA PLAZA, TOWER-1 NETAJI SUBHASH PLACE, PITAMPURA DELHI New Delhi DL 110034 IN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Residential Housing Project ongoing of the Corporate Debtor:</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7796.0" w:type="dxa"/>
        <w:jc w:val="left"/>
        <w:tblInd w:w="13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1"/>
        <w:gridCol w:w="2795"/>
        <w:gridCol w:w="2510"/>
        <w:tblGridChange w:id="0">
          <w:tblGrid>
            <w:gridCol w:w="2491"/>
            <w:gridCol w:w="2795"/>
            <w:gridCol w:w="2510"/>
          </w:tblGrid>
        </w:tblGridChange>
      </w:tblGrid>
      <w:tr>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of Project</w:t>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w:t>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Status</w:t>
            </w:r>
          </w:p>
        </w:tc>
      </w:tr>
      <w:tr>
        <w:tc>
          <w:tcPr>
            <w:gridSpan w:val="3"/>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RESIDENTIAL</w:t>
            </w:r>
          </w:p>
        </w:tc>
      </w:tr>
      <w:tr>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Victory Ace</w:t>
            </w:r>
          </w:p>
        </w:tc>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Sector – 143, Noida</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Ongoing</w:t>
            </w:r>
          </w:p>
        </w:tc>
      </w:tr>
    </w:tbl>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6"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06" w:hanging="36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MSME Status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10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26" w:right="1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pertaining to corporate insolvency resolution process of micro, small and medium enterprises under the Insolvency &amp; Bankruptcy Code, 2016 would not be applicable in this matter since the Corporate Debtor does not fall under any of the three categories. </w:t>
      </w:r>
    </w:p>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Style w:val="Heading1"/>
        <w:numPr>
          <w:ilvl w:val="0"/>
          <w:numId w:val="4"/>
        </w:numPr>
        <w:tabs>
          <w:tab w:val="left" w:pos="384"/>
          <w:tab w:val="left" w:pos="2159"/>
          <w:tab w:val="left" w:pos="2960"/>
          <w:tab w:val="left" w:pos="4788"/>
          <w:tab w:val="left" w:pos="5421"/>
          <w:tab w:val="left" w:pos="7062"/>
          <w:tab w:val="left" w:pos="7705"/>
          <w:tab w:val="left" w:pos="8947"/>
          <w:tab w:val="left" w:pos="9090"/>
        </w:tabs>
        <w:spacing w:line="360" w:lineRule="auto"/>
        <w:ind w:left="426" w:right="120" w:hanging="360"/>
        <w:jc w:val="both"/>
        <w:rPr>
          <w:rFonts w:ascii="Arial" w:cs="Arial" w:eastAsia="Arial" w:hAnsi="Arial"/>
        </w:rPr>
      </w:pPr>
      <w:r w:rsidDel="00000000" w:rsidR="00000000" w:rsidRPr="00000000">
        <w:rPr>
          <w:rFonts w:ascii="Arial" w:cs="Arial" w:eastAsia="Arial" w:hAnsi="Arial"/>
          <w:rtl w:val="0"/>
        </w:rPr>
        <w:t xml:space="preserve">INVITATION FOR</w:t>
        <w:tab/>
        <w:t xml:space="preserve">EXPRESSION OF INTEREST</w:t>
        <w:tab/>
        <w:t xml:space="preserve">TO SUBMIT A RESOLUTION PLAN FOR DREAM PROCON PRIVATE LIMITED</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90" w:line="360" w:lineRule="auto"/>
        <w:ind w:left="426" w:right="118" w:firstLine="2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Corporate Debtor is currently undergoing Corporate Insolvency Resolution Process (in short,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CIRP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provisions of the Insolvency and Bankruptcy Code, 2016 (in short,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pursuant to the order dated 06</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September, 2019 issued by Hon’ble National Company Law Tribunal, New Delhi.</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55" w:line="360" w:lineRule="auto"/>
        <w:ind w:left="426" w:right="112" w:firstLine="2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Nilesh Sharma, acting in his capacity as the Resolution Professional (in short,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Corporate Debtor, hereby invites Expressions of Interest (in short,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EOI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from prospective Resolution Applicants, under Sections 25(2)(h) of IBC, for submission of Resolution Plans in respect of the Corporate Debtor. The EOIs should reach the Resolution Professional latest by 22nd March 2020. The said time line may be extended by the Committee of Creditors (COC), if it so decides.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numPr>
          <w:ilvl w:val="0"/>
          <w:numId w:val="4"/>
        </w:numPr>
        <w:tabs>
          <w:tab w:val="left" w:pos="142"/>
          <w:tab w:val="left" w:pos="2326"/>
          <w:tab w:val="left" w:pos="3857"/>
          <w:tab w:val="left" w:pos="4697"/>
          <w:tab w:val="left" w:pos="6880"/>
          <w:tab w:val="left" w:pos="7523"/>
        </w:tabs>
        <w:spacing w:before="1" w:line="360" w:lineRule="auto"/>
        <w:ind w:left="426" w:right="125" w:hanging="360"/>
        <w:jc w:val="both"/>
        <w:rPr>
          <w:rFonts w:ascii="Arial" w:cs="Arial" w:eastAsia="Arial" w:hAnsi="Arial"/>
          <w:u w:val="none"/>
        </w:rPr>
      </w:pPr>
      <w:r w:rsidDel="00000000" w:rsidR="00000000" w:rsidRPr="00000000">
        <w:rPr>
          <w:rFonts w:ascii="Arial" w:cs="Arial" w:eastAsia="Arial" w:hAnsi="Arial"/>
          <w:u w:val="single"/>
          <w:rtl w:val="0"/>
        </w:rPr>
        <w:t xml:space="preserve">ELIGIBILITY CRITERIA FOR QUALIFYING AS RESOLUTION APPLICANT</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90" w:line="360" w:lineRule="auto"/>
        <w:ind w:left="426" w:right="11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meeting of Committee of Creditors of Dream Procon Private Limited held on 26.02.2020 the following eligibility criteria was prescribed by the members of CoC for the Prospective Resolution Applicant(s) in order to make them eligible to participate in the CIRP of the Corporate Debtor by submission of Resolution Plan.</w:t>
      </w:r>
    </w:p>
    <w:p w:rsidR="00000000" w:rsidDel="00000000" w:rsidP="00000000" w:rsidRDefault="00000000" w:rsidRPr="00000000" w14:paraId="0000003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Category A – In case of an individual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tangible net-worth of INR 20 crores as per the Income Tax return for the FY 2018-19 and as certified by a practising Chartered Accountant.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Category B - In case of a private/public limited company, LLP, body corporate incorporated in India: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tangible net worth (TNW) of INR 50 crores at the group level as per the audited balance sheet for the FY 2018-19;</w:t>
      </w:r>
    </w:p>
    <w:p w:rsidR="00000000" w:rsidDel="00000000" w:rsidP="00000000" w:rsidRDefault="00000000" w:rsidRPr="00000000" w14:paraId="0000003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Tangible Net Worth shall be aggregate value of paid-up share capital and all reserves created out of the profits and securities premium account, after deducting the aggregate value of the accumulated losses, deferred revenue expenditures and miscellaneous expenditure not written-off. The reserves do not include capital reserves created out of revaluation of assets and write back of depreciation and amalgamation;</w:t>
      </w:r>
    </w:p>
    <w:p w:rsidR="00000000" w:rsidDel="00000000" w:rsidP="00000000" w:rsidRDefault="00000000" w:rsidRPr="00000000" w14:paraId="0000003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entities shown as part of Group must have either the controlling interest over or controlled by or under common control with the Prospective Resolution Applicant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Control means at least 26% ownership. The entities must have been part of the Group for at least 3 years.</w:t>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Category C - In case of Financial Investors (FI) / Mutual Funds / Private Equity / Venture Capital Funds / Domestic/ foreign Investment institutions, Non-Banking Finance Companies (NBFC), Asset Reconstruction Companies, Banks and similar entities: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1"/>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assets under Management (AUM) / Loan Portfolio shall be at least INR 250 crores at the end of the Financial Year 2018-19, or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295" w:before="0" w:line="240" w:lineRule="auto"/>
        <w:ind w:left="786"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committed funds available for investment /deployment in Indian companies or Indian assets of INR 200 Crore at the end of the Financial Year 2018-19;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295" w:before="0" w:line="240" w:lineRule="auto"/>
        <w:ind w:left="786"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 here means the FI as defined under Section 45 I (c) of RBI Act and NBFC here means the NBFC as defined under Section 45 I (f) of RBI Act.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6" w:right="0" w:hanging="361"/>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6" w:right="0" w:hanging="361"/>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Category D - In case of bidding as a consortium: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1"/>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 may be a “Consortium”. Consortium shall mean any person acting together with another person as a consortium/joint bidder or joint venture (whether incorporated or not) for the purpose of submission of the EoI and Resolution Plan in respect of the Corporate Debtor;</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86"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member must hold at least 25% equity in the consortium;</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members of the Consortium shall have positive TNW at the end of FY 2018-19. In case any member has negative net worth as at 31.03.2019, the Consortium shall not be eligible;</w:t>
      </w:r>
    </w:p>
    <w:p w:rsidR="00000000" w:rsidDel="00000000" w:rsidP="00000000" w:rsidRDefault="00000000" w:rsidRPr="00000000" w14:paraId="0000004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 of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consortium of individuals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TNW shall be calculated based on weighted average of their respective net worth i.e. the aggregates of such portions of their TNW, as is proportionate to their shareholding in the consortium, will count towards the qualification criteria of TNW under this EoI. The Consortium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satisfy condition of category A; </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 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consortium is of body corporates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TNW of consortium shall be calculated based on their weighted average i.e. the aggregates of such portions of their TNW as is proportionate to their shareholding in the consortium, will count towards the qualification criteria of TNW and turnover under this EoI. The consortium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satisfy condition of Category B;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 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consortium is of FIs/Funds/PE Investors/NBFCs/Any other applicants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AUM / Loan Portfolio of consortium shall be calculated based on their weighted average i.e. the aggregate of such portions of their AUM/Loan Portfolio as it proportionate to their shareholding in the consortium will count towards the qualification criteria of AUM/Loan Portfolio. Similarly, the committed funds available for investment/deployment in Indian companies or Indian assets shall be based on their weighted average i.e. the aggregate of such portion of their committed funds available for investment /deployments in Indian companies or Indian assets as is proportionate to their shareholding in the consortium will count towards the qualification criteria of committed funds. The consortium per-se should satisfy condition of Category C;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members are from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Category A &amp;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criterion applicable to the individual members will be the criterion as applicable to the category it belongs as recalculated based on its share in the consortium i.e. each consortium member will satisfy the criterion applicable to its category as multiplied by its share in the consortium;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members are from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Category B &amp;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criterion applicable to the individual members will be the criterion as applicable to the category it belongs as recalculated based on its share in the consortium i.e. each consortium member will satisfy the criterion applicable to its category as multiplied by its share in the consortium;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members are from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Category A &amp;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criterion applicable to the individual members will be the criterion as applicable to the category it belongs as recalculated based on its share in the consortium i.e. each consortium member will satisfy the criterion applicable to its category as multiplied by its share in the consortium;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members are from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Category A, B &amp;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criteria for TNW / AUM would again be based on share of a particular member in the consortium i.e. it will be in proportion to their shareholding in the consortium. 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consortium members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belonging to Category A, Category B and Category C should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independently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satisfy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criteria for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Category A, Category B and Category C as recalculated bases on their share in the consortium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86"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change in lead member or any member whose financials have been used to meet the criteria set out herein shall be permitted after the last date for submission of EoI.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Category E – Co-operatives Formed by Home-buyers</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spacing w:after="200" w:line="360" w:lineRule="auto"/>
        <w:ind w:left="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Co-operatives formed by the Homebuyers of incumbent unit-holders/allottees in the project of the Corporate Debtor.</w:t>
      </w:r>
    </w:p>
    <w:p w:rsidR="00000000" w:rsidDel="00000000" w:rsidP="00000000" w:rsidRDefault="00000000" w:rsidRPr="00000000" w14:paraId="0000005F">
      <w:pPr>
        <w:spacing w:after="200" w:line="360" w:lineRule="auto"/>
        <w:ind w:left="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Co-operatives to comprise of at-least 50 members who are homebuyers in the project of the Corporate Debtor and in respect of whom total admitted claims (of all the members of Co-operative taken together) amount to not less than Rs.35 crores. Qualifications relating to net-worth/turnover would not be applicable to such Co-operatives. </w:t>
      </w:r>
    </w:p>
    <w:p w:rsidR="00000000" w:rsidDel="00000000" w:rsidP="00000000" w:rsidRDefault="00000000" w:rsidRPr="00000000" w14:paraId="00000060">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all categories (except Category A and Category E), the Prospective Resolution Applicant should be a profit making entity/company for last three financial years for FY 2016-17, 2017-18 and 2018-19 per audited annual accounts.  </w:t>
      </w:r>
    </w:p>
    <w:p w:rsidR="00000000" w:rsidDel="00000000" w:rsidP="00000000" w:rsidRDefault="00000000" w:rsidRPr="00000000" w14:paraId="00000061">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Please note that a Prospective Resolution Applicant with negative tangible net-worth shall not be qualified under any category(ies) mentioned above.</w:t>
      </w:r>
      <w:r w:rsidDel="00000000" w:rsidR="00000000" w:rsidRPr="00000000">
        <w:rPr>
          <w:rtl w:val="0"/>
        </w:rPr>
      </w:r>
    </w:p>
    <w:p w:rsidR="00000000" w:rsidDel="00000000" w:rsidP="00000000" w:rsidRDefault="00000000" w:rsidRPr="00000000" w14:paraId="00000063">
      <w:pPr>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12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None of the Prospective Resolution Applicant(s), should attract any of the in-eligibilities enlisted under provisions of Section 29A of IBC.</w:t>
      </w:r>
    </w:p>
    <w:p w:rsidR="00000000" w:rsidDel="00000000" w:rsidP="00000000" w:rsidRDefault="00000000" w:rsidRPr="00000000" w14:paraId="0000006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numPr>
          <w:ilvl w:val="0"/>
          <w:numId w:val="4"/>
        </w:numPr>
        <w:tabs>
          <w:tab w:val="left" w:pos="461"/>
        </w:tabs>
        <w:spacing w:line="360" w:lineRule="auto"/>
        <w:ind w:left="426" w:hanging="360"/>
        <w:jc w:val="both"/>
        <w:rPr>
          <w:rFonts w:ascii="Arial" w:cs="Arial" w:eastAsia="Arial" w:hAnsi="Arial"/>
        </w:rPr>
      </w:pPr>
      <w:r w:rsidDel="00000000" w:rsidR="00000000" w:rsidRPr="00000000">
        <w:rPr>
          <w:rFonts w:ascii="Arial" w:cs="Arial" w:eastAsia="Arial" w:hAnsi="Arial"/>
          <w:rtl w:val="0"/>
        </w:rPr>
        <w:t xml:space="preserve">TRNSACTION PROCESS</w:t>
      </w:r>
    </w:p>
    <w:p w:rsidR="00000000" w:rsidDel="00000000" w:rsidP="00000000" w:rsidRDefault="00000000" w:rsidRPr="00000000" w14:paraId="00000067">
      <w:pPr>
        <w:pStyle w:val="Heading1"/>
        <w:tabs>
          <w:tab w:val="left" w:pos="461"/>
        </w:tabs>
        <w:spacing w:line="360" w:lineRule="auto"/>
        <w:ind w:left="426"/>
        <w:jc w:val="both"/>
        <w:rPr>
          <w:rFonts w:ascii="Arial" w:cs="Arial" w:eastAsia="Arial" w:hAnsi="Arial"/>
          <w:b w:val="0"/>
          <w:u w:val="none"/>
        </w:rPr>
      </w:pPr>
      <w:r w:rsidDel="00000000" w:rsidR="00000000" w:rsidRPr="00000000">
        <w:rPr>
          <w:rFonts w:ascii="Arial" w:cs="Arial" w:eastAsia="Arial" w:hAnsi="Arial"/>
          <w:b w:val="0"/>
          <w:u w:val="none"/>
          <w:rtl w:val="0"/>
        </w:rPr>
        <w:t xml:space="preserve">The proposed process in the instant transaction would be as follows:</w:t>
      </w:r>
    </w:p>
    <w:p w:rsidR="00000000" w:rsidDel="00000000" w:rsidP="00000000" w:rsidRDefault="00000000" w:rsidRPr="00000000" w14:paraId="00000068">
      <w:pPr>
        <w:pStyle w:val="Heading1"/>
        <w:numPr>
          <w:ilvl w:val="0"/>
          <w:numId w:val="6"/>
        </w:numPr>
        <w:tabs>
          <w:tab w:val="left" w:pos="461"/>
        </w:tabs>
        <w:spacing w:line="360" w:lineRule="auto"/>
        <w:ind w:left="851" w:hanging="360"/>
        <w:jc w:val="both"/>
        <w:rPr>
          <w:rFonts w:ascii="Arial" w:cs="Arial" w:eastAsia="Arial" w:hAnsi="Arial"/>
          <w:b w:val="0"/>
          <w:u w:val="none"/>
        </w:rPr>
      </w:pPr>
      <w:r w:rsidDel="00000000" w:rsidR="00000000" w:rsidRPr="00000000">
        <w:rPr>
          <w:rFonts w:ascii="Arial" w:cs="Arial" w:eastAsia="Arial" w:hAnsi="Arial"/>
          <w:b w:val="0"/>
          <w:u w:val="none"/>
          <w:rtl w:val="0"/>
        </w:rPr>
        <w:t xml:space="preserve">Invitation of Expression of Interest by the Resolution Professional based on the eligibility criteria finalized by the Committee of Creditors;</w:t>
      </w:r>
    </w:p>
    <w:p w:rsidR="00000000" w:rsidDel="00000000" w:rsidP="00000000" w:rsidRDefault="00000000" w:rsidRPr="00000000" w14:paraId="00000069">
      <w:pPr>
        <w:pStyle w:val="Heading1"/>
        <w:numPr>
          <w:ilvl w:val="0"/>
          <w:numId w:val="6"/>
        </w:numPr>
        <w:tabs>
          <w:tab w:val="left" w:pos="461"/>
        </w:tabs>
        <w:spacing w:line="360" w:lineRule="auto"/>
        <w:ind w:left="851" w:hanging="360"/>
        <w:jc w:val="both"/>
        <w:rPr>
          <w:rFonts w:ascii="Arial" w:cs="Arial" w:eastAsia="Arial" w:hAnsi="Arial"/>
          <w:b w:val="0"/>
          <w:u w:val="none"/>
        </w:rPr>
      </w:pPr>
      <w:r w:rsidDel="00000000" w:rsidR="00000000" w:rsidRPr="00000000">
        <w:rPr>
          <w:rFonts w:ascii="Arial" w:cs="Arial" w:eastAsia="Arial" w:hAnsi="Arial"/>
          <w:b w:val="0"/>
          <w:u w:val="none"/>
          <w:rtl w:val="0"/>
        </w:rPr>
        <w:t xml:space="preserve">Submission of EoI (in prescribed format) along with relevant disclosures including document/information highlighting eligibility of the EoI applicant;</w:t>
      </w:r>
    </w:p>
    <w:p w:rsidR="00000000" w:rsidDel="00000000" w:rsidP="00000000" w:rsidRDefault="00000000" w:rsidRPr="00000000" w14:paraId="0000006A">
      <w:pPr>
        <w:pStyle w:val="Heading1"/>
        <w:numPr>
          <w:ilvl w:val="0"/>
          <w:numId w:val="6"/>
        </w:numPr>
        <w:tabs>
          <w:tab w:val="left" w:pos="461"/>
        </w:tabs>
        <w:spacing w:line="360" w:lineRule="auto"/>
        <w:ind w:left="851" w:hanging="360"/>
        <w:jc w:val="both"/>
        <w:rPr>
          <w:rFonts w:ascii="Arial" w:cs="Arial" w:eastAsia="Arial" w:hAnsi="Arial"/>
          <w:b w:val="0"/>
          <w:u w:val="none"/>
        </w:rPr>
      </w:pPr>
      <w:r w:rsidDel="00000000" w:rsidR="00000000" w:rsidRPr="00000000">
        <w:rPr>
          <w:rFonts w:ascii="Arial" w:cs="Arial" w:eastAsia="Arial" w:hAnsi="Arial"/>
          <w:b w:val="0"/>
          <w:u w:val="none"/>
          <w:rtl w:val="0"/>
        </w:rPr>
        <w:t xml:space="preserve">On receipt and confirmation of eligibility and subsequent execution of confidentiality undertaking by the PRA, following information will be shared: </w:t>
      </w:r>
    </w:p>
    <w:p w:rsidR="00000000" w:rsidDel="00000000" w:rsidP="00000000" w:rsidRDefault="00000000" w:rsidRPr="00000000" w14:paraId="0000006B">
      <w:pPr>
        <w:pStyle w:val="Heading1"/>
        <w:numPr>
          <w:ilvl w:val="0"/>
          <w:numId w:val="7"/>
        </w:numPr>
        <w:tabs>
          <w:tab w:val="left" w:pos="461"/>
        </w:tabs>
        <w:spacing w:line="360" w:lineRule="auto"/>
        <w:ind w:left="1571" w:hanging="360"/>
        <w:jc w:val="both"/>
        <w:rPr>
          <w:b w:val="0"/>
          <w:u w:val="none"/>
        </w:rPr>
      </w:pPr>
      <w:r w:rsidDel="00000000" w:rsidR="00000000" w:rsidRPr="00000000">
        <w:rPr>
          <w:rFonts w:ascii="Arial" w:cs="Arial" w:eastAsia="Arial" w:hAnsi="Arial"/>
          <w:b w:val="0"/>
          <w:u w:val="none"/>
          <w:rtl w:val="0"/>
        </w:rPr>
        <w:t xml:space="preserve">Information Memorandum prepared in instant process;</w:t>
      </w:r>
    </w:p>
    <w:p w:rsidR="00000000" w:rsidDel="00000000" w:rsidP="00000000" w:rsidRDefault="00000000" w:rsidRPr="00000000" w14:paraId="0000006C">
      <w:pPr>
        <w:pStyle w:val="Heading1"/>
        <w:numPr>
          <w:ilvl w:val="0"/>
          <w:numId w:val="7"/>
        </w:numPr>
        <w:tabs>
          <w:tab w:val="left" w:pos="461"/>
        </w:tabs>
        <w:spacing w:line="360" w:lineRule="auto"/>
        <w:ind w:left="1571" w:hanging="360"/>
        <w:jc w:val="both"/>
        <w:rPr>
          <w:b w:val="0"/>
          <w:u w:val="none"/>
        </w:rPr>
      </w:pPr>
      <w:r w:rsidDel="00000000" w:rsidR="00000000" w:rsidRPr="00000000">
        <w:rPr>
          <w:rFonts w:ascii="Arial" w:cs="Arial" w:eastAsia="Arial" w:hAnsi="Arial"/>
          <w:b w:val="0"/>
          <w:u w:val="none"/>
          <w:rtl w:val="0"/>
        </w:rPr>
        <w:t xml:space="preserve">Data room (or any such information interface) access for due-diligence purpose;</w:t>
      </w:r>
    </w:p>
    <w:p w:rsidR="00000000" w:rsidDel="00000000" w:rsidP="00000000" w:rsidRDefault="00000000" w:rsidRPr="00000000" w14:paraId="0000006D">
      <w:pPr>
        <w:pStyle w:val="Heading1"/>
        <w:numPr>
          <w:ilvl w:val="0"/>
          <w:numId w:val="7"/>
        </w:numPr>
        <w:tabs>
          <w:tab w:val="left" w:pos="461"/>
        </w:tabs>
        <w:spacing w:line="360" w:lineRule="auto"/>
        <w:ind w:left="1571" w:hanging="360"/>
        <w:jc w:val="both"/>
        <w:rPr>
          <w:b w:val="0"/>
          <w:u w:val="none"/>
        </w:rPr>
      </w:pPr>
      <w:r w:rsidDel="00000000" w:rsidR="00000000" w:rsidRPr="00000000">
        <w:rPr>
          <w:rFonts w:ascii="Arial" w:cs="Arial" w:eastAsia="Arial" w:hAnsi="Arial"/>
          <w:b w:val="0"/>
          <w:u w:val="none"/>
          <w:rtl w:val="0"/>
        </w:rPr>
        <w:t xml:space="preserve">Request for Resolution Plan (in short, “</w:t>
      </w:r>
      <w:r w:rsidDel="00000000" w:rsidR="00000000" w:rsidRPr="00000000">
        <w:rPr>
          <w:rFonts w:ascii="Arial" w:cs="Arial" w:eastAsia="Arial" w:hAnsi="Arial"/>
          <w:u w:val="none"/>
          <w:rtl w:val="0"/>
        </w:rPr>
        <w:t xml:space="preserve">RFRP</w:t>
      </w:r>
      <w:r w:rsidDel="00000000" w:rsidR="00000000" w:rsidRPr="00000000">
        <w:rPr>
          <w:rFonts w:ascii="Arial" w:cs="Arial" w:eastAsia="Arial" w:hAnsi="Arial"/>
          <w:b w:val="0"/>
          <w:u w:val="none"/>
          <w:rtl w:val="0"/>
        </w:rPr>
        <w:t xml:space="preserve">”) encapsulating steps involved in evaluation criteria</w:t>
      </w:r>
    </w:p>
    <w:p w:rsidR="00000000" w:rsidDel="00000000" w:rsidP="00000000" w:rsidRDefault="00000000" w:rsidRPr="00000000" w14:paraId="0000006E">
      <w:pPr>
        <w:pStyle w:val="Heading1"/>
        <w:tabs>
          <w:tab w:val="left" w:pos="461"/>
        </w:tabs>
        <w:spacing w:line="360" w:lineRule="auto"/>
        <w:ind w:left="426"/>
        <w:jc w:val="both"/>
        <w:rPr>
          <w:rFonts w:ascii="Arial" w:cs="Arial" w:eastAsia="Arial" w:hAnsi="Arial"/>
        </w:rPr>
      </w:pPr>
      <w:r w:rsidDel="00000000" w:rsidR="00000000" w:rsidRPr="00000000">
        <w:rPr>
          <w:rtl w:val="0"/>
        </w:rPr>
      </w:r>
    </w:p>
    <w:p w:rsidR="00000000" w:rsidDel="00000000" w:rsidP="00000000" w:rsidRDefault="00000000" w:rsidRPr="00000000" w14:paraId="0000006F">
      <w:pPr>
        <w:pStyle w:val="Heading1"/>
        <w:numPr>
          <w:ilvl w:val="0"/>
          <w:numId w:val="4"/>
        </w:numPr>
        <w:tabs>
          <w:tab w:val="left" w:pos="461"/>
        </w:tabs>
        <w:spacing w:line="360" w:lineRule="auto"/>
        <w:ind w:left="426" w:hanging="360"/>
        <w:jc w:val="both"/>
        <w:rPr>
          <w:rFonts w:ascii="Arial" w:cs="Arial" w:eastAsia="Arial" w:hAnsi="Arial"/>
          <w:u w:val="none"/>
        </w:rPr>
      </w:pPr>
      <w:r w:rsidDel="00000000" w:rsidR="00000000" w:rsidRPr="00000000">
        <w:rPr>
          <w:rFonts w:ascii="Arial" w:cs="Arial" w:eastAsia="Arial" w:hAnsi="Arial"/>
          <w:u w:val="single"/>
          <w:rtl w:val="0"/>
        </w:rPr>
        <w:t xml:space="preserve">SUBMISSION OF EOI:</w:t>
      </w:r>
      <w:r w:rsidDel="00000000" w:rsidR="00000000" w:rsidRPr="00000000">
        <w:rPr>
          <w:rtl w:val="0"/>
        </w:rPr>
      </w:r>
    </w:p>
    <w:p w:rsidR="00000000" w:rsidDel="00000000" w:rsidP="00000000" w:rsidRDefault="00000000" w:rsidRPr="00000000" w14:paraId="0000007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26"/>
        </w:tabs>
        <w:spacing w:after="0" w:before="90" w:line="360" w:lineRule="auto"/>
        <w:ind w:left="851" w:right="1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Expression   of   Interest (EOI) is   invited    in    sealed    envelope    superscripted as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Expression of Interest for participating in Insolvency Resolution Process of Dream Procon Private Limited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format as set out in Annexure ‘A’.</w:t>
      </w:r>
    </w:p>
    <w:p w:rsidR="00000000" w:rsidDel="00000000" w:rsidP="00000000" w:rsidRDefault="00000000" w:rsidRPr="00000000" w14:paraId="0000007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26"/>
        </w:tabs>
        <w:spacing w:after="0" w:before="125" w:line="360" w:lineRule="auto"/>
        <w:ind w:left="851" w:right="1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Applicants shall submit the EOI along with the supporting documents set out in Annexure ‘B’</w:t>
      </w:r>
    </w:p>
    <w:p w:rsidR="00000000" w:rsidDel="00000000" w:rsidP="00000000" w:rsidRDefault="00000000" w:rsidRPr="00000000" w14:paraId="0000007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26"/>
        </w:tabs>
        <w:spacing w:after="0" w:before="124" w:line="360" w:lineRule="auto"/>
        <w:ind w:left="85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details of the Applicant shall be as set out in Annexure ‘C’.</w:t>
      </w:r>
    </w:p>
    <w:p w:rsidR="00000000" w:rsidDel="00000000" w:rsidP="00000000" w:rsidRDefault="00000000" w:rsidRPr="00000000" w14:paraId="0000007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26"/>
        </w:tabs>
        <w:spacing w:after="0" w:before="117" w:line="360" w:lineRule="auto"/>
        <w:ind w:left="851" w:right="11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Applicant shall submit the sealed envelope containing a complete set of the EoI in hard copy along with the Annexures stated above, to the following address by post or by hand:</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NILESH SHARMA</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RESOLUTION PROFESSIONAL</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THE MATTER OF DREAM PROCON PVT. LTD.</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IBBI/IPA-002/IP-N00104/2017-18/10232</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2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COMMUNICATION ADD.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D-54, FIRST FLOOR, DEFENCE COLONY, NEW DELHI-110024</w:t>
      </w:r>
    </w:p>
    <w:p w:rsidR="00000000" w:rsidDel="00000000" w:rsidP="00000000" w:rsidRDefault="00000000" w:rsidRPr="00000000" w14:paraId="0000007A">
      <w:pPr>
        <w:ind w:left="821" w:right="43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26"/>
        </w:tabs>
        <w:spacing w:after="0" w:before="90" w:line="360" w:lineRule="auto"/>
        <w:ind w:left="851" w:right="1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soft-copy of EOI along with annexures stated above should also be mailed to</w:t>
      </w:r>
      <w:r w:rsidDel="00000000" w:rsidR="00000000" w:rsidRPr="00000000">
        <w:rPr>
          <w:rFonts w:ascii="Arial" w:cs="Arial" w:eastAsia="Arial" w:hAnsi="Arial"/>
          <w:b w:val="0"/>
          <w:i w:val="0"/>
          <w:smallCaps w:val="0"/>
          <w:strike w:val="0"/>
          <w:color w:val="1154c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ip.dreamprocon@gmail.com</w:t>
      </w:r>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26"/>
        </w:tabs>
        <w:spacing w:after="0" w:before="90" w:line="360" w:lineRule="auto"/>
        <w:ind w:left="851" w:right="1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EoI submitted after the last date shall be rejected, however the Resolution Professional may extend the last date of submission of EoI, with approval of the Committee of Creditors;</w:t>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26"/>
        </w:tabs>
        <w:spacing w:after="0" w:before="90" w:line="360" w:lineRule="auto"/>
        <w:ind w:left="851" w:right="1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EoIs not fulfilling the conditions contained herein are liable to be disqualified without any further communication;</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1"/>
        <w:numPr>
          <w:ilvl w:val="0"/>
          <w:numId w:val="4"/>
        </w:numPr>
        <w:tabs>
          <w:tab w:val="left" w:pos="284"/>
        </w:tabs>
        <w:spacing w:line="360" w:lineRule="auto"/>
        <w:ind w:left="284" w:hanging="360"/>
        <w:jc w:val="both"/>
        <w:rPr>
          <w:rFonts w:ascii="Arial" w:cs="Arial" w:eastAsia="Arial" w:hAnsi="Arial"/>
          <w:u w:val="none"/>
        </w:rPr>
      </w:pPr>
      <w:r w:rsidDel="00000000" w:rsidR="00000000" w:rsidRPr="00000000">
        <w:rPr>
          <w:rFonts w:ascii="Arial" w:cs="Arial" w:eastAsia="Arial" w:hAnsi="Arial"/>
          <w:u w:val="single"/>
          <w:rtl w:val="0"/>
        </w:rPr>
        <w:t xml:space="preserve">LAST DATE FOR SUBMISSION OF EOI:</w:t>
      </w: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1" w:line="360" w:lineRule="auto"/>
        <w:ind w:left="284" w:right="1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last date for submission of EOI is 22nd March, 2020 which may be extended by the Committee of Creditors if it so decides.</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left" w:pos="284"/>
        </w:tabs>
        <w:spacing w:after="0" w:before="123" w:line="360" w:lineRule="auto"/>
        <w:ind w:left="284" w:right="1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prospective Resolution Applicants submitting the EOI must ensure that they do not suffer from any ineligibility in accordance with the provisions of section 29A or any other provision of IBC, 2016. All the EOIs received shall be examined by the undersigned on the eligibility criterion specified and in accordance with the provisions of IBC 2016. The Information Memorandum and other relevant information including the details of the process and Evaluation Matrix will be shared with the eligible RAs upon their furnishing an undertaking of confidentiality in terms of the provisions of section 29(2) of the IBC, 2016 read with Regulation 36(4) of the Insolvency &amp; Bankruptcy Board of India (Insolvency Resolution Process for Corporate Persons) Regulations, 2016. The details of access to Virtual Data Room shall be provided upon signing an undertaking of confidentiality / Non- Disclosure Agreement.</w:t>
      </w:r>
    </w:p>
    <w:p w:rsidR="00000000" w:rsidDel="00000000" w:rsidP="00000000" w:rsidRDefault="00000000" w:rsidRPr="00000000" w14:paraId="00000082">
      <w:pPr>
        <w:pStyle w:val="Heading1"/>
        <w:spacing w:before="201" w:line="360" w:lineRule="auto"/>
        <w:ind w:left="284"/>
        <w:jc w:val="both"/>
        <w:rPr>
          <w:rFonts w:ascii="Arial" w:cs="Arial" w:eastAsia="Arial" w:hAnsi="Arial"/>
          <w:u w:val="single"/>
        </w:rPr>
      </w:pPr>
      <w:r w:rsidDel="00000000" w:rsidR="00000000" w:rsidRPr="00000000">
        <w:rPr>
          <w:rFonts w:ascii="Arial" w:cs="Arial" w:eastAsia="Arial" w:hAnsi="Arial"/>
          <w:u w:val="single"/>
          <w:rtl w:val="0"/>
        </w:rPr>
        <w:t xml:space="preserve">NOTES:</w:t>
      </w:r>
    </w:p>
    <w:p w:rsidR="00000000" w:rsidDel="00000000" w:rsidP="00000000" w:rsidRDefault="00000000" w:rsidRPr="00000000" w14:paraId="0000008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90" w:line="360" w:lineRule="auto"/>
        <w:ind w:left="720" w:right="12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RP/the CoC has the right to cancel or modify the process without assigning any reason and without any liability. This is not an offer document and is issued with no commitment;</w:t>
      </w:r>
    </w:p>
    <w:p w:rsidR="00000000" w:rsidDel="00000000" w:rsidP="00000000" w:rsidRDefault="00000000" w:rsidRPr="00000000" w14:paraId="0000008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2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RP/the CoC reserves the right to withdraw the invitation for EOIs and change or vary any part thereof at any stage and also reserves the right to disqualify any potential bidder, should it be so necessary at any stage;</w:t>
      </w:r>
    </w:p>
    <w:p w:rsidR="00000000" w:rsidDel="00000000" w:rsidP="00000000" w:rsidRDefault="00000000" w:rsidRPr="00000000" w14:paraId="0000008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oral conversations or agreements with the Resolution Professional or any official, agent or employee of the Resolution Professional, or any member of the COC shall affect or modify any terms of this invitation for EOIs;</w:t>
      </w:r>
    </w:p>
    <w:p w:rsidR="00000000" w:rsidDel="00000000" w:rsidP="00000000" w:rsidRDefault="00000000" w:rsidRPr="00000000" w14:paraId="0000008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1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PRAs who seek to submit a resolution plan in respect of the Corporate Debtor must read, comprehend and comply with all the requirements under IBC, associated rules and regulations that are in force or may come into force subsequently, for resolution plan and all matter thereunder, in relation to invitation of resolution plan in instant process;</w:t>
      </w:r>
    </w:p>
    <w:p w:rsidR="00000000" w:rsidDel="00000000" w:rsidP="00000000" w:rsidRDefault="00000000" w:rsidRPr="00000000" w14:paraId="0000008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1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Neither the RA nor any of representatives of the RA shall have any claims whatsoever against the Resolution Professional or any member of the COC or any of their directors, officials, agents or employees arising out of or relating to this invitation for EOIs;</w:t>
      </w:r>
    </w:p>
    <w:p w:rsidR="00000000" w:rsidDel="00000000" w:rsidP="00000000" w:rsidRDefault="00000000" w:rsidRPr="00000000" w14:paraId="0000008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1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consideration, evaluation and approval of resolution plan is within the exclusive powers of Committee of Creditors; </w:t>
      </w:r>
    </w:p>
    <w:p w:rsidR="00000000" w:rsidDel="00000000" w:rsidP="00000000" w:rsidRDefault="00000000" w:rsidRPr="00000000" w14:paraId="0000008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1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submitting a proposal, each prospective Resolution Applicant/bidder shall be deemed to acknowledge that it has carefully read the entire invitation for EOIs and all the relevant documents/information/process, has fully informed itself as to all existing conditions and limitations;</w:t>
      </w:r>
    </w:p>
    <w:p w:rsidR="00000000" w:rsidDel="00000000" w:rsidP="00000000" w:rsidRDefault="00000000" w:rsidRPr="00000000" w14:paraId="0000008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1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shall not be construed as an offer document. Applicant must visit the website(s) referred in this document on regular basis to stay abreast upon updations associated with the instant process;</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360" w:lineRule="auto"/>
        <w:ind w:left="720" w:right="11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1"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Nilesh Sharma</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Resolution Professional</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IBBI/IPA-002/IP-N00104/2017-2018/10232</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D- 54, First Floor, Defence Colony, New Delhi- 110024</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hyperlink r:id="rId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ip.dreamprocon@gmail.com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nilesh.sharma@witworthipe.com,</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Dream Procon Pvt. Ltd.</w:t>
      </w:r>
    </w:p>
    <w:p w:rsidR="00000000" w:rsidDel="00000000" w:rsidP="00000000" w:rsidRDefault="00000000" w:rsidRPr="00000000" w14:paraId="00000096">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Arial" w:cs="Arial" w:eastAsia="Arial" w:hAnsi="Arial"/>
          <w:sz w:val="24"/>
          <w:szCs w:val="24"/>
        </w:rPr>
        <w:sectPr>
          <w:footerReference r:id="rId7" w:type="default"/>
          <w:pgSz w:h="16840" w:w="11910"/>
          <w:pgMar w:bottom="280" w:top="1340" w:left="1340" w:right="1320" w:header="720" w:footer="720"/>
          <w:pgNumType w:start="1"/>
          <w:cols w:equalWidth="0"/>
        </w:sectPr>
      </w:pPr>
      <w:r w:rsidDel="00000000" w:rsidR="00000000" w:rsidRPr="00000000">
        <w:rPr>
          <w:rtl w:val="0"/>
        </w:rPr>
      </w:r>
    </w:p>
    <w:p w:rsidR="00000000" w:rsidDel="00000000" w:rsidP="00000000" w:rsidRDefault="00000000" w:rsidRPr="00000000" w14:paraId="00000098">
      <w:pPr>
        <w:pStyle w:val="Heading1"/>
        <w:spacing w:before="78" w:line="360" w:lineRule="auto"/>
        <w:ind w:left="0" w:right="23"/>
        <w:jc w:val="right"/>
        <w:rPr>
          <w:rFonts w:ascii="Arial" w:cs="Arial" w:eastAsia="Arial" w:hAnsi="Arial"/>
          <w:u w:val="none"/>
        </w:rPr>
      </w:pPr>
      <w:r w:rsidDel="00000000" w:rsidR="00000000" w:rsidRPr="00000000">
        <w:rPr>
          <w:rFonts w:ascii="Arial" w:cs="Arial" w:eastAsia="Arial" w:hAnsi="Arial"/>
          <w:b w:val="0"/>
          <w:u w:val="none"/>
          <w:rtl w:val="0"/>
        </w:rPr>
        <w:t xml:space="preserve">“</w:t>
      </w:r>
      <w:r w:rsidDel="00000000" w:rsidR="00000000" w:rsidRPr="00000000">
        <w:rPr>
          <w:rFonts w:ascii="Arial" w:cs="Arial" w:eastAsia="Arial" w:hAnsi="Arial"/>
          <w:u w:val="none"/>
          <w:rtl w:val="0"/>
        </w:rPr>
        <w:t xml:space="preserve">ANNEXURE -1</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29A. Persons not eligible to be resolution applicant. -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shall not be eligible to submit a resolution plan, if such person, or any other person acting jointly or in concert with such person—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is an undischarged insolvent;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is a wilful defaulter in accordance with the guidelines of the Reserve Bank of India issued under the Banking Regulation Act, 1949 (10 of 1949);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at the time of submission of the resolution plan has an account,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the person shall be eligible to submit a resolution plan if such person makes payment of all overdue amounts with interest thereon and charges relating to non-performing asset accounts before submission of resolution plan: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further that nothing in this clause shall apply to a resolution applicant where such applicant is a financial entity and is not a related party to the corporate debtor.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Explanation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Explanation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convicted for any offence punishable with imprisonment –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for two years or more under any Act specified under the Twelfth Schedule; or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for seven years or more under any law for the time being in force: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this clause shall not apply to a person after the expiry of a period of two years from the date of his release from imprisonment: </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further that this clause shall not apply in relation to a connected person referred to in clause(iii)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Explanation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is disqualified to act as a director under the Companies Act, 2013 (18 of 2013):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3[Provided that this clause shall not apply in relation to a connected person referred to in clause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Explanation I;</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prohibited by the Securities and Exchange Board of India from trading in securities or accessing the securities markets;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 has executed a guarantee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favour of a creditor in respect of a corporate debtor against which an application for insolvency resolution made by such creditor has been admitted under this Code and such guarantee has been invoked by the creditor and remains unpaid in full or part;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is subject to any disability, corresponding to clauses (a) to (h), under any law in a jurisdiction outside India; or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has a connected person not eligible under clauses (a) to (i).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Explanation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purposes of this clause, the expression "connected person" means—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any person who is the promoter or in the management or control of the resolution applicant; or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any person who shall be the promoter or in management or control of the business of the corporate debtor during the implementation of the resolution plan; or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holding company, subsidiary company, associate company or related party of a person referred to in clauses (i) and (ii):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nothing in clause (iii)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Explanation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shall apply to a resolution applicant where such applicant is a financial entity and is not a related party of the corporate debtor: </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Explanation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II—For the purposes of this section, "financial entity" shall mean the following entities which meet such criteria or conditions as the Central Government may, in consultation with the financial sector regulator, notify in this behalf, namely:— </w:t>
      </w:r>
    </w:p>
    <w:p w:rsidR="00000000" w:rsidDel="00000000" w:rsidP="00000000" w:rsidRDefault="00000000" w:rsidRPr="00000000" w14:paraId="000000B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scheduled bank; </w:t>
      </w:r>
    </w:p>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any entity regulated by a foreign central bank or a securities market regulator or other financial sector regulator of a jurisdiction outside India which jurisdiction is compliant with the Financial Action Task Force Standards and is a signatory to the International Organisation of Securities Commissions Multilateral Memorandum of Understanding; </w:t>
      </w:r>
    </w:p>
    <w:p w:rsidR="00000000" w:rsidDel="00000000" w:rsidP="00000000" w:rsidRDefault="00000000" w:rsidRPr="00000000" w14:paraId="000000B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rsidR="00000000" w:rsidDel="00000000" w:rsidP="00000000" w:rsidRDefault="00000000" w:rsidRPr="00000000" w14:paraId="000000B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an asset reconstruction company register with the Reserve Bank of India under section 3 of the Securitisation and Reconstruction of Financial Assets and Enforcement of Security Interest Act, 2002 (54 of 2002); </w:t>
      </w:r>
    </w:p>
    <w:p w:rsidR="00000000" w:rsidDel="00000000" w:rsidP="00000000" w:rsidRDefault="00000000" w:rsidRPr="00000000" w14:paraId="000000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an Alternate Investment Fund registered with Securities and Exchange Board of India; </w:t>
      </w:r>
    </w:p>
    <w:p w:rsidR="00000000" w:rsidDel="00000000" w:rsidP="00000000" w:rsidRDefault="00000000" w:rsidRPr="00000000" w14:paraId="000000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such categories of persons as may be notified by the Central Government. </w:t>
      </w:r>
    </w:p>
    <w:p w:rsidR="00000000" w:rsidDel="00000000" w:rsidP="00000000" w:rsidRDefault="00000000" w:rsidRPr="00000000" w14:paraId="000000BD">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985"/>
        </w:tabs>
        <w:spacing w:after="0" w:before="0" w:line="240" w:lineRule="auto"/>
        <w:ind w:left="984" w:right="11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pStyle w:val="Heading1"/>
        <w:spacing w:before="78" w:line="360" w:lineRule="auto"/>
        <w:ind w:left="0" w:right="23"/>
        <w:jc w:val="center"/>
        <w:rPr>
          <w:rFonts w:ascii="Arial" w:cs="Arial" w:eastAsia="Arial" w:hAnsi="Arial"/>
          <w:u w:val="none"/>
        </w:rPr>
      </w:pPr>
      <w:r w:rsidDel="00000000" w:rsidR="00000000" w:rsidRPr="00000000">
        <w:rPr>
          <w:rFonts w:ascii="Arial" w:cs="Arial" w:eastAsia="Arial" w:hAnsi="Arial"/>
          <w:b w:val="0"/>
          <w:u w:val="none"/>
          <w:rtl w:val="0"/>
        </w:rPr>
        <w:t xml:space="preserve">“</w:t>
      </w:r>
      <w:r w:rsidDel="00000000" w:rsidR="00000000" w:rsidRPr="00000000">
        <w:rPr>
          <w:rFonts w:ascii="Arial" w:cs="Arial" w:eastAsia="Arial" w:hAnsi="Arial"/>
          <w:u w:val="none"/>
          <w:rtl w:val="0"/>
        </w:rPr>
        <w:t xml:space="preserve">ANNEXURE A  </w:t>
      </w:r>
      <w:r w:rsidDel="00000000" w:rsidR="00000000" w:rsidRPr="00000000">
        <w:pict>
          <v:line id="Line 2" style="position:absolute;left:0;text-align:left;z-index:1024;visibility:visible;mso-position-horizontal-relative:margin;mso-position-horizontal:absolute;margin-left:-67.6pt;mso-position-vertical:absolute;margin-top:0.0pt;mso-position-vertical-relative:text;" o:spid="_x0000_s1026" strokeweight="1.2pt" from="257.15pt,16.9pt" to="343.1pt,16.9pt">
            <w10:wrap/>
          </v:line>
        </w:pict>
      </w:r>
    </w:p>
    <w:p w:rsidR="00000000" w:rsidDel="00000000" w:rsidP="00000000" w:rsidRDefault="00000000" w:rsidRPr="00000000" w14:paraId="000000C0">
      <w:pPr>
        <w:pStyle w:val="Heading1"/>
        <w:spacing w:before="78" w:line="360" w:lineRule="auto"/>
        <w:ind w:left="0" w:right="23"/>
        <w:jc w:val="center"/>
        <w:rPr>
          <w:rFonts w:ascii="Arial" w:cs="Arial" w:eastAsia="Arial" w:hAnsi="Arial"/>
        </w:rPr>
      </w:pPr>
      <w:r w:rsidDel="00000000" w:rsidR="00000000" w:rsidRPr="00000000">
        <w:rPr>
          <w:rFonts w:ascii="Arial" w:cs="Arial" w:eastAsia="Arial" w:hAnsi="Arial"/>
          <w:rtl w:val="0"/>
        </w:rPr>
        <w:t xml:space="preserve">[On the Letterhead of the Entity Submitting the EoI]</w:t>
      </w:r>
    </w:p>
    <w:p w:rsidR="00000000" w:rsidDel="00000000" w:rsidP="00000000" w:rsidRDefault="00000000" w:rsidRPr="00000000" w14:paraId="000000C1">
      <w:pPr>
        <w:pStyle w:val="Heading1"/>
        <w:spacing w:before="123" w:line="360" w:lineRule="auto"/>
        <w:ind w:left="0" w:right="23"/>
        <w:jc w:val="center"/>
        <w:rPr>
          <w:rFonts w:ascii="Arial" w:cs="Arial" w:eastAsia="Arial" w:hAnsi="Arial"/>
          <w:u w:val="none"/>
        </w:rPr>
      </w:pPr>
      <w:r w:rsidDel="00000000" w:rsidR="00000000" w:rsidRPr="00000000">
        <w:rPr>
          <w:rFonts w:ascii="Arial" w:cs="Arial" w:eastAsia="Arial" w:hAnsi="Arial"/>
          <w:u w:val="none"/>
          <w:rtl w:val="0"/>
        </w:rPr>
        <w:t xml:space="preserve">EXPRESSION OF INTEREST</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tabs>
          <w:tab w:val="left" w:pos="3237"/>
        </w:tabs>
        <w:spacing w:line="360" w:lineRule="auto"/>
        <w:ind w:left="10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p w:rsidR="00000000" w:rsidDel="00000000" w:rsidP="00000000" w:rsidRDefault="00000000" w:rsidRPr="00000000" w14:paraId="000000C4">
      <w:pPr>
        <w:spacing w:before="90" w:line="360" w:lineRule="auto"/>
        <w:ind w:left="10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w:t>
      </w:r>
    </w:p>
    <w:p w:rsidR="00000000" w:rsidDel="00000000" w:rsidP="00000000" w:rsidRDefault="00000000" w:rsidRPr="00000000" w14:paraId="000000C5">
      <w:pPr>
        <w:spacing w:line="360" w:lineRule="auto"/>
        <w:ind w:left="10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RESOLUTION PROFESSIONAL,</w:t>
      </w:r>
    </w:p>
    <w:p w:rsidR="00000000" w:rsidDel="00000000" w:rsidP="00000000" w:rsidRDefault="00000000" w:rsidRPr="00000000" w14:paraId="000000C6">
      <w:pPr>
        <w:spacing w:line="360" w:lineRule="auto"/>
        <w:ind w:left="10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 THE MATTER OF DREAM PROCON PVT LTD)</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spacing w:line="360" w:lineRule="auto"/>
        <w:ind w:left="1233" w:right="114" w:hanging="1134"/>
        <w:jc w:val="both"/>
        <w:rPr>
          <w:rFonts w:ascii="Arial" w:cs="Arial" w:eastAsia="Arial" w:hAnsi="Arial"/>
          <w:b w:val="1"/>
          <w:sz w:val="24"/>
          <w:szCs w:val="24"/>
          <w:u w:val="single"/>
        </w:rPr>
      </w:pPr>
      <w:r w:rsidDel="00000000" w:rsidR="00000000" w:rsidRPr="00000000">
        <w:rPr>
          <w:rFonts w:ascii="Arial" w:cs="Arial" w:eastAsia="Arial" w:hAnsi="Arial"/>
          <w:b w:val="1"/>
          <w:sz w:val="24"/>
          <w:szCs w:val="24"/>
          <w:rtl w:val="0"/>
        </w:rPr>
        <w:t xml:space="preserve">Subject: </w:t>
        <w:tab/>
      </w:r>
      <w:r w:rsidDel="00000000" w:rsidR="00000000" w:rsidRPr="00000000">
        <w:rPr>
          <w:rFonts w:ascii="Arial" w:cs="Arial" w:eastAsia="Arial" w:hAnsi="Arial"/>
          <w:b w:val="1"/>
          <w:sz w:val="24"/>
          <w:szCs w:val="24"/>
          <w:u w:val="single"/>
          <w:rtl w:val="0"/>
        </w:rPr>
        <w:t xml:space="preserve">Expression of Interest for submitting Resolution Plan for Dream Procon Private Limited (“Corporate Debtor”) undergoing Corporate Insolvency Resolution Process </w:t>
      </w:r>
    </w:p>
    <w:p w:rsidR="00000000" w:rsidDel="00000000" w:rsidP="00000000" w:rsidRDefault="00000000" w:rsidRPr="00000000" w14:paraId="000000C9">
      <w:pPr>
        <w:spacing w:line="360" w:lineRule="auto"/>
        <w:ind w:left="1233" w:right="114" w:hanging="1134"/>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90" w:line="360" w:lineRule="auto"/>
        <w:ind w:left="1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Dear Sir,</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tabs>
          <w:tab w:val="left" w:pos="8475"/>
        </w:tabs>
        <w:spacing w:after="0" w:before="123" w:line="360" w:lineRule="auto"/>
        <w:ind w:left="1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response   to   the   public   advertisement   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dated________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Advertisement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inviting EOI for submission of resolution plans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Resolution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per the provisions of the Insolvency and Bankruptcy Code, 2016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confirm that we fulfill the eligibility criteria and qualify for submission of the Resolution Plan, and have understood the requirements and the terms and conditions for filing of this EOI and make our EOI for submission of a Resolution Plan in respect of the Corporate Debtor.</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123" w:line="360" w:lineRule="auto"/>
        <w:ind w:left="100" w:right="1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Along with our EOI, we have also provided information as required in the prescribed format/specified in ‘Annexure B’ and ‘Annexure C’.</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123" w:line="360" w:lineRule="auto"/>
        <w:ind w:left="10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further undertake that the information furnished by us in this EOI and Annexures is true, correct, complete, and accurate to the best of our knowledge. Based on this information we understand you would be able to evaluate our eligibility in order to shortlist us for the above-mentioned proposal. Further, we agree and acknowledge that:</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123" w:line="360" w:lineRule="auto"/>
        <w:ind w:left="100"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EoI will be evaluated by the RP/ Process Advisor on behalf of the Committee of Creditors (“CoC”) of Corporate Debtor based on the information provided in the Annexures and attached documents to determine whether we qualify to submit a proposal for the proposed transaction;</w:t>
      </w:r>
    </w:p>
    <w:p w:rsidR="00000000" w:rsidDel="00000000" w:rsidP="00000000" w:rsidRDefault="00000000" w:rsidRPr="00000000" w14:paraId="000000D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RP/ the CoC reserve the right to determine at their sole discretion, whether or not we qualify for the submission of the proposal and may reject the EoI submitted by us with/without assigning any reason, without any liability whatsoever;</w:t>
      </w:r>
    </w:p>
    <w:p w:rsidR="00000000" w:rsidDel="00000000" w:rsidP="00000000" w:rsidRDefault="00000000" w:rsidRPr="00000000" w14:paraId="000000D1">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RP/ the CoC reserve the right to request for additional information or clarification from us for the purposes of the EoI and we shall promptly comply with such requirements. Failure to satisfy the queries of RP/ CoC may lead to rejection of our submission pursuant to EoI;</w:t>
      </w:r>
    </w:p>
    <w:p w:rsidR="00000000" w:rsidDel="00000000" w:rsidP="00000000" w:rsidRDefault="00000000" w:rsidRPr="00000000" w14:paraId="000000D2">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Meeting the qualification criteria set out in EoI / Annexure – B alone does not automatically entitle us to participate in the next stage of the bid process;</w:t>
      </w:r>
    </w:p>
    <w:p w:rsidR="00000000" w:rsidDel="00000000" w:rsidP="00000000" w:rsidRDefault="00000000" w:rsidRPr="00000000" w14:paraId="000000D3">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including connected persons, are not an ineligible person(s) in terms of provisions of Section 29A of the IBC, 2016. We are ‘fit and proper’ person and not under any legal disability to be a promoter entity of the Company under the applicable laws including listing agreements, stock exchange requirements and SEBI regulations and guidelines whatsoever;</w:t>
      </w:r>
    </w:p>
    <w:p w:rsidR="00000000" w:rsidDel="00000000" w:rsidP="00000000" w:rsidRDefault="00000000" w:rsidRPr="00000000" w14:paraId="000000D4">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shall intimate the Resolution Professional forthwith if I/We become ineligible under section 29A of the IBC at any time during the corporate insolvency resolution process;</w:t>
      </w:r>
    </w:p>
    <w:p w:rsidR="00000000" w:rsidDel="00000000" w:rsidP="00000000" w:rsidRDefault="00000000" w:rsidRPr="00000000" w14:paraId="000000D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undertake that every information and records provided in expression of interest is true and correct and discovery of any false information or record at any time will render our EOI ineligible for further processing and/or ineligible to submit resolution plan, forfeit any refundable deposit, and attract penal action under the Code;</w:t>
      </w:r>
    </w:p>
    <w:p w:rsidR="00000000" w:rsidDel="00000000" w:rsidP="00000000" w:rsidRDefault="00000000" w:rsidRPr="00000000" w14:paraId="000000D6">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undertake that I/We shall maintain confidentiality of the information and shall not use such information to cause an undue gain or undue loss to itself or any other person and comply with the requirements under sub-section (2) of section 29;</w:t>
      </w:r>
    </w:p>
    <w:p w:rsidR="00000000" w:rsidDel="00000000" w:rsidP="00000000" w:rsidRDefault="00000000" w:rsidRPr="00000000" w14:paraId="000000D7">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Submission of any false, concocted, fabricated information in the instant process will render us ineligible to continue any further, no matter at what stage such information comes to knowledge of the RP/CoC.  </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56" w:line="360" w:lineRule="auto"/>
        <w:ind w:left="1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Yours Sincerely,</w:t>
      </w:r>
    </w:p>
    <w:p w:rsidR="00000000" w:rsidDel="00000000" w:rsidP="00000000" w:rsidRDefault="00000000" w:rsidRPr="00000000" w14:paraId="000000D9">
      <w:pPr>
        <w:tabs>
          <w:tab w:val="left" w:pos="4023"/>
        </w:tabs>
        <w:spacing w:before="122" w:line="360" w:lineRule="auto"/>
        <w:ind w:left="100" w:right="31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behalf of [</w:t>
      </w:r>
      <w:r w:rsidDel="00000000" w:rsidR="00000000" w:rsidRPr="00000000">
        <w:rPr>
          <w:rFonts w:ascii="Arial" w:cs="Arial" w:eastAsia="Arial" w:hAnsi="Arial"/>
          <w:i w:val="1"/>
          <w:sz w:val="24"/>
          <w:szCs w:val="24"/>
          <w:rtl w:val="0"/>
        </w:rPr>
        <w:t xml:space="preserve">Insert the name of the entity submitting the EOI</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A">
      <w:pPr>
        <w:tabs>
          <w:tab w:val="left" w:pos="4023"/>
        </w:tabs>
        <w:spacing w:before="122" w:line="360" w:lineRule="auto"/>
        <w:ind w:left="100" w:right="31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Signature:</w:t>
      </w:r>
      <w:r w:rsidDel="00000000" w:rsidR="00000000" w:rsidRPr="00000000">
        <w:rPr>
          <w:rFonts w:ascii="Arial" w:cs="Arial" w:eastAsia="Arial" w:hAnsi="Arial"/>
          <w:sz w:val="24"/>
          <w:szCs w:val="24"/>
          <w:u w:val="single"/>
          <w:rtl w:val="0"/>
        </w:rPr>
        <w:t xml:space="preserve"> </w:t>
        <w:tab/>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3"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90" w:line="360" w:lineRule="auto"/>
        <w:ind w:left="1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Signatory:</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123" w:line="360" w:lineRule="auto"/>
        <w:ind w:left="1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Designation:</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117" w:line="360" w:lineRule="auto"/>
        <w:ind w:left="1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/Co-operative’s Seal/Stamp</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spacing w:before="218" w:line="360" w:lineRule="auto"/>
        <w:ind w:left="10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1. In case of Consortium Applicant the EoI shall be signed by each member. In case of cooperative, office-bearers may sign such EoI.</w:t>
      </w:r>
    </w:p>
    <w:p w:rsidR="00000000" w:rsidDel="00000000" w:rsidP="00000000" w:rsidRDefault="00000000" w:rsidRPr="00000000" w14:paraId="000000E1">
      <w:pPr>
        <w:spacing w:before="4" w:line="360" w:lineRule="auto"/>
        <w:ind w:left="10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 The person signing the EoI and other supporting documents should be an authorized signatory supported by necessary board resolutions/authorization letter.</w:t>
      </w:r>
    </w:p>
    <w:p w:rsidR="00000000" w:rsidDel="00000000" w:rsidP="00000000" w:rsidRDefault="00000000" w:rsidRPr="00000000" w14:paraId="000000E2">
      <w:pPr>
        <w:spacing w:line="360" w:lineRule="auto"/>
        <w:jc w:val="both"/>
        <w:rPr>
          <w:rFonts w:ascii="Arial" w:cs="Arial" w:eastAsia="Arial" w:hAnsi="Arial"/>
          <w:sz w:val="24"/>
          <w:szCs w:val="24"/>
        </w:rPr>
        <w:sectPr>
          <w:type w:val="nextPage"/>
          <w:pgSz w:h="16840" w:w="11910"/>
          <w:pgMar w:bottom="280" w:top="1340" w:left="1340" w:right="1320" w:header="720" w:footer="720"/>
          <w:cols w:equalWidth="0"/>
        </w:sectPr>
      </w:pPr>
      <w:r w:rsidDel="00000000" w:rsidR="00000000" w:rsidRPr="00000000">
        <w:rPr>
          <w:rtl w:val="0"/>
        </w:rPr>
      </w:r>
    </w:p>
    <w:p w:rsidR="00000000" w:rsidDel="00000000" w:rsidP="00000000" w:rsidRDefault="00000000" w:rsidRPr="00000000" w14:paraId="000000E3">
      <w:pPr>
        <w:pStyle w:val="Heading1"/>
        <w:spacing w:before="78" w:line="360" w:lineRule="auto"/>
        <w:ind w:left="0" w:right="15"/>
        <w:jc w:val="right"/>
        <w:rPr>
          <w:rFonts w:ascii="Arial" w:cs="Arial" w:eastAsia="Arial" w:hAnsi="Arial"/>
          <w:u w:val="none"/>
        </w:rPr>
      </w:pPr>
      <w:r w:rsidDel="00000000" w:rsidR="00000000" w:rsidRPr="00000000">
        <w:rPr>
          <w:rFonts w:ascii="Arial" w:cs="Arial" w:eastAsia="Arial" w:hAnsi="Arial"/>
          <w:b w:val="0"/>
          <w:u w:val="single"/>
          <w:rtl w:val="0"/>
        </w:rPr>
        <w:t xml:space="preserve"> </w:t>
      </w:r>
      <w:r w:rsidDel="00000000" w:rsidR="00000000" w:rsidRPr="00000000">
        <w:rPr>
          <w:rFonts w:ascii="Arial" w:cs="Arial" w:eastAsia="Arial" w:hAnsi="Arial"/>
          <w:u w:val="single"/>
          <w:rtl w:val="0"/>
        </w:rPr>
        <w:t xml:space="preserve">“ANNEXURE – B”</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2"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spacing w:before="90" w:line="360" w:lineRule="auto"/>
        <w:ind w:left="1291"/>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SUPPORTING DOCUMENTS TO BE ATTACHED WITH EOI</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3"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90" w:line="360" w:lineRule="auto"/>
        <w:ind w:left="821" w:right="0"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RAs - Profiles of RAs</w:t>
      </w:r>
    </w:p>
    <w:p w:rsidR="00000000" w:rsidDel="00000000" w:rsidP="00000000" w:rsidRDefault="00000000" w:rsidRPr="00000000" w14:paraId="000000E8">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0" w:line="360" w:lineRule="auto"/>
        <w:ind w:left="821" w:right="114"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RAs (other than individuals) - Copies of Certificate of Incorporation/ Registration along with Constitutional Documents (MOA, AOA or anything similar based on the nature of the applicant), PAN Card.</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tabs>
          <w:tab w:val="left" w:pos="821"/>
        </w:tabs>
        <w:spacing w:after="0" w:before="0" w:line="360" w:lineRule="auto"/>
        <w:ind w:left="821"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RAs who are individuals: Copies of Aadhar Card or Passport and PAN Card. </w:t>
      </w:r>
    </w:p>
    <w:p w:rsidR="00000000" w:rsidDel="00000000" w:rsidP="00000000" w:rsidRDefault="00000000" w:rsidRPr="00000000" w14:paraId="000000EA">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158" w:line="360" w:lineRule="auto"/>
        <w:ind w:left="821" w:right="0"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audited financial statements for the last three financial years (i.e. F.Y. 2016-17 till F.Y. 2018-19), Quarterly results for first three quarters of F.Y. 2019-20 in respect of listed companies and other relevant information and records in support of its/their meeting the eligibility criterion (i.e. copies of Income Tax Returns, GST Returns etc if so required by the Resolution Professional).</w:t>
      </w:r>
    </w:p>
    <w:p w:rsidR="00000000" w:rsidDel="00000000" w:rsidP="00000000" w:rsidRDefault="00000000" w:rsidRPr="00000000" w14:paraId="000000EB">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821" w:right="114"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self- attested declaration, stating that the Prospective Resolution Applicant(s) is/ are (along with connected persons) not disqualified as per section 29A or any other provision of IBC, 2016.</w:t>
      </w:r>
    </w:p>
    <w:p w:rsidR="00000000" w:rsidDel="00000000" w:rsidP="00000000" w:rsidRDefault="00000000" w:rsidRPr="00000000" w14:paraId="000000EC">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821" w:right="114"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 of consortiums, the above documents are required to be given in respect of all the consortiums members.</w:t>
      </w:r>
    </w:p>
    <w:p w:rsidR="00000000" w:rsidDel="00000000" w:rsidP="00000000" w:rsidRDefault="00000000" w:rsidRPr="00000000" w14:paraId="000000ED">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821" w:right="114"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entities filing the EOIs based on their fulfilling the Group Criteria, the above documents should be filed in respect of all the Group entities and all other documents demonstrating that all the said entities are part of a Group.</w:t>
      </w:r>
    </w:p>
    <w:p w:rsidR="00000000" w:rsidDel="00000000" w:rsidP="00000000" w:rsidRDefault="00000000" w:rsidRPr="00000000" w14:paraId="000000EE">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821" w:right="114"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Certificate from the auditors of the entities or in case of individuals, from a practicing Chartered Accountant, certifying the revenue /Turnover/Tangible net worth/AUM/Size of the Loan Portfolio/funds available for investment/deployment in India, as the case may be, during the relevant period/periods.</w:t>
      </w:r>
    </w:p>
    <w:p w:rsidR="00000000" w:rsidDel="00000000" w:rsidP="00000000" w:rsidRDefault="00000000" w:rsidRPr="00000000" w14:paraId="000000EF">
      <w:pPr>
        <w:keepNext w:val="0"/>
        <w:keepLines w:val="0"/>
        <w:widowControl w:val="0"/>
        <w:numPr>
          <w:ilvl w:val="1"/>
          <w:numId w:val="9"/>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821" w:right="114"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Co-operatives formed by the Homebuyers of Today Homes and Infrastructure Pvt. Ltd. shall, in addition to the documents stated above (to the extent applicable) also submit the following information/details:-</w:t>
      </w:r>
    </w:p>
    <w:p w:rsidR="00000000" w:rsidDel="00000000" w:rsidP="00000000" w:rsidRDefault="00000000" w:rsidRPr="00000000" w14:paraId="000000F0">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1440" w:right="11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Certificate with the concerned Registrar of Co-operatives. </w:t>
      </w:r>
    </w:p>
    <w:p w:rsidR="00000000" w:rsidDel="00000000" w:rsidP="00000000" w:rsidRDefault="00000000" w:rsidRPr="00000000" w14:paraId="000000F1">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1440" w:right="11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Constitutional Documents /Byelaws etc.</w:t>
      </w:r>
    </w:p>
    <w:p w:rsidR="00000000" w:rsidDel="00000000" w:rsidP="00000000" w:rsidRDefault="00000000" w:rsidRPr="00000000" w14:paraId="000000F2">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156" w:line="360" w:lineRule="auto"/>
        <w:ind w:left="1440" w:right="11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its Managing Committee (‘MC’), MC Members, resolution appointing the MC Members, Members of the Co-operatives along with the details of their admitted claims in DPPL’s ongoing CIR Process, details of flat in respect of which their claim is admitted as a financial creditor, authorization to the persons making EOI etc.  A certificate from a practicing Chartered Accountant certifying that the Co-operative fulfils the eligibility criteria as to minimum admitted amount of the financial debt held by the homebuyer members of such co-operative.  </w:t>
      </w:r>
    </w:p>
    <w:p w:rsidR="00000000" w:rsidDel="00000000" w:rsidP="00000000" w:rsidRDefault="00000000" w:rsidRPr="00000000" w14:paraId="000000F3">
      <w:pPr>
        <w:spacing w:line="360" w:lineRule="auto"/>
        <w:jc w:val="both"/>
        <w:rPr>
          <w:rFonts w:ascii="Arial" w:cs="Arial" w:eastAsia="Arial" w:hAnsi="Arial"/>
          <w:sz w:val="24"/>
          <w:szCs w:val="24"/>
        </w:rPr>
        <w:sectPr>
          <w:type w:val="nextPage"/>
          <w:pgSz w:h="16840" w:w="11910"/>
          <w:pgMar w:bottom="280" w:top="1340" w:left="1340" w:right="1320" w:header="720" w:footer="720"/>
          <w:cols w:equalWidth="0"/>
        </w:sectPr>
      </w:pPr>
      <w:r w:rsidDel="00000000" w:rsidR="00000000" w:rsidRPr="00000000">
        <w:rPr>
          <w:rtl w:val="0"/>
        </w:rPr>
      </w:r>
    </w:p>
    <w:p w:rsidR="00000000" w:rsidDel="00000000" w:rsidP="00000000" w:rsidRDefault="00000000" w:rsidRPr="00000000" w14:paraId="000000F4">
      <w:pPr>
        <w:pStyle w:val="Heading1"/>
        <w:spacing w:before="78" w:line="360" w:lineRule="auto"/>
        <w:ind w:left="3697"/>
        <w:jc w:val="both"/>
        <w:rPr>
          <w:rFonts w:ascii="Arial" w:cs="Arial" w:eastAsia="Arial" w:hAnsi="Arial"/>
          <w:u w:val="none"/>
        </w:rPr>
      </w:pPr>
      <w:r w:rsidDel="00000000" w:rsidR="00000000" w:rsidRPr="00000000">
        <w:rPr>
          <w:rFonts w:ascii="Arial" w:cs="Arial" w:eastAsia="Arial" w:hAnsi="Arial"/>
          <w:b w:val="0"/>
          <w:u w:val="single"/>
          <w:rtl w:val="0"/>
        </w:rPr>
        <w:t xml:space="preserve"> </w:t>
      </w:r>
      <w:r w:rsidDel="00000000" w:rsidR="00000000" w:rsidRPr="00000000">
        <w:rPr>
          <w:rFonts w:ascii="Arial" w:cs="Arial" w:eastAsia="Arial" w:hAnsi="Arial"/>
          <w:u w:val="single"/>
          <w:rtl w:val="0"/>
        </w:rPr>
        <w:t xml:space="preserve">“ANNEXURE C”</w:t>
      </w:r>
      <w:r w:rsidDel="00000000" w:rsidR="00000000" w:rsidRPr="00000000">
        <w:rPr>
          <w:rtl w:val="0"/>
        </w:rPr>
      </w:r>
    </w:p>
    <w:p w:rsidR="00000000" w:rsidDel="00000000" w:rsidP="00000000" w:rsidRDefault="00000000" w:rsidRPr="00000000" w14:paraId="000000F5">
      <w:pPr>
        <w:spacing w:line="360" w:lineRule="auto"/>
        <w:ind w:left="100" w:right="651"/>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[Note: In case of consortium, the details set out below are to be provided for each of the members]</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 w:line="36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pStyle w:val="Heading1"/>
        <w:numPr>
          <w:ilvl w:val="0"/>
          <w:numId w:val="8"/>
        </w:numPr>
        <w:tabs>
          <w:tab w:val="left" w:pos="461"/>
        </w:tabs>
        <w:spacing w:line="360" w:lineRule="auto"/>
        <w:ind w:left="460" w:hanging="360"/>
        <w:jc w:val="both"/>
        <w:rPr>
          <w:u w:val="none"/>
        </w:rPr>
      </w:pPr>
      <w:r w:rsidDel="00000000" w:rsidR="00000000" w:rsidRPr="00000000">
        <w:rPr>
          <w:rFonts w:ascii="Arial" w:cs="Arial" w:eastAsia="Arial" w:hAnsi="Arial"/>
          <w:u w:val="none"/>
          <w:rtl w:val="0"/>
        </w:rPr>
        <w:t xml:space="preserve">Name and Address:</w:t>
      </w:r>
    </w:p>
    <w:p w:rsidR="00000000" w:rsidDel="00000000" w:rsidP="00000000" w:rsidRDefault="00000000" w:rsidRPr="00000000" w14:paraId="000000F8">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1051"/>
        </w:tabs>
        <w:spacing w:after="0" w:before="0" w:line="360" w:lineRule="auto"/>
        <w:ind w:left="1050" w:right="0" w:hanging="229.0000000000000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the Firm/Company/Organization/Co-operative:</w:t>
      </w:r>
    </w:p>
    <w:p w:rsidR="00000000" w:rsidDel="00000000" w:rsidP="00000000" w:rsidRDefault="00000000" w:rsidRPr="00000000" w14:paraId="000000F9">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1061"/>
        </w:tabs>
        <w:spacing w:after="0" w:before="0" w:line="360" w:lineRule="auto"/>
        <w:ind w:left="1060" w:right="0" w:hanging="239.0000000000000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FA">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1051"/>
        </w:tabs>
        <w:spacing w:after="0" w:before="0" w:line="360" w:lineRule="auto"/>
        <w:ind w:left="1050" w:right="0" w:hanging="229.0000000000000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w:t>
      </w:r>
    </w:p>
    <w:p w:rsidR="00000000" w:rsidDel="00000000" w:rsidP="00000000" w:rsidRDefault="00000000" w:rsidRPr="00000000" w14:paraId="000000FB">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1066"/>
        </w:tabs>
        <w:spacing w:after="0" w:before="0" w:line="360" w:lineRule="auto"/>
        <w:ind w:left="1065" w:right="0" w:hanging="244.0000000000000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Fax:</w:t>
      </w:r>
    </w:p>
    <w:p w:rsidR="00000000" w:rsidDel="00000000" w:rsidP="00000000" w:rsidRDefault="00000000" w:rsidRPr="00000000" w14:paraId="000000FC">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1051"/>
        </w:tabs>
        <w:spacing w:after="0" w:before="0" w:line="360" w:lineRule="auto"/>
        <w:ind w:left="1050" w:right="0" w:hanging="229.0000000000000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FD">
      <w:pPr>
        <w:pStyle w:val="Heading1"/>
        <w:numPr>
          <w:ilvl w:val="0"/>
          <w:numId w:val="8"/>
        </w:numPr>
        <w:tabs>
          <w:tab w:val="left" w:pos="461"/>
        </w:tabs>
        <w:spacing w:line="360" w:lineRule="auto"/>
        <w:ind w:left="460" w:hanging="360"/>
        <w:jc w:val="both"/>
        <w:rPr>
          <w:u w:val="none"/>
        </w:rPr>
      </w:pPr>
      <w:r w:rsidDel="00000000" w:rsidR="00000000" w:rsidRPr="00000000">
        <w:rPr>
          <w:rFonts w:ascii="Arial" w:cs="Arial" w:eastAsia="Arial" w:hAnsi="Arial"/>
          <w:u w:val="none"/>
          <w:rtl w:val="0"/>
        </w:rPr>
        <w:t xml:space="preserve">Date of Establishment:</w:t>
      </w:r>
    </w:p>
    <w:p w:rsidR="00000000" w:rsidDel="00000000" w:rsidP="00000000" w:rsidRDefault="00000000" w:rsidRPr="00000000" w14:paraId="000000F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461"/>
        </w:tabs>
        <w:spacing w:after="0" w:before="1" w:line="360" w:lineRule="auto"/>
        <w:ind w:left="460" w:right="0" w:hanging="360"/>
        <w:jc w:val="both"/>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Core Area of Expertise (wherever applicable):</w:t>
      </w:r>
    </w:p>
    <w:p w:rsidR="00000000" w:rsidDel="00000000" w:rsidP="00000000" w:rsidRDefault="00000000" w:rsidRPr="00000000" w14:paraId="000000F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461"/>
        </w:tabs>
        <w:spacing w:after="0" w:before="0" w:line="360" w:lineRule="auto"/>
        <w:ind w:left="460" w:right="0" w:hanging="360"/>
        <w:jc w:val="both"/>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Person:</w:t>
      </w:r>
    </w:p>
    <w:p w:rsidR="00000000" w:rsidDel="00000000" w:rsidP="00000000" w:rsidRDefault="00000000" w:rsidRPr="00000000" w14:paraId="00000100">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691"/>
        </w:tabs>
        <w:spacing w:after="0" w:before="0" w:line="360" w:lineRule="auto"/>
        <w:ind w:left="690" w:right="0" w:hanging="23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101">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700"/>
        </w:tabs>
        <w:spacing w:after="0" w:before="3" w:line="360" w:lineRule="auto"/>
        <w:ind w:left="700" w:right="0" w:hanging="24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Designation:</w:t>
      </w:r>
    </w:p>
    <w:p w:rsidR="00000000" w:rsidDel="00000000" w:rsidP="00000000" w:rsidRDefault="00000000" w:rsidRPr="00000000" w14:paraId="00000102">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691"/>
        </w:tabs>
        <w:spacing w:after="0" w:before="0" w:line="360" w:lineRule="auto"/>
        <w:ind w:left="690" w:right="0" w:hanging="23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w:t>
      </w:r>
    </w:p>
    <w:p w:rsidR="00000000" w:rsidDel="00000000" w:rsidP="00000000" w:rsidRDefault="00000000" w:rsidRPr="00000000" w14:paraId="00000103">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705"/>
        </w:tabs>
        <w:spacing w:after="0" w:before="2" w:line="360" w:lineRule="auto"/>
        <w:ind w:left="704" w:right="0" w:hanging="244"/>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104">
      <w:pPr>
        <w:pStyle w:val="Heading1"/>
        <w:numPr>
          <w:ilvl w:val="0"/>
          <w:numId w:val="8"/>
        </w:numPr>
        <w:tabs>
          <w:tab w:val="left" w:pos="461"/>
        </w:tabs>
        <w:spacing w:line="360" w:lineRule="auto"/>
        <w:ind w:left="460" w:hanging="360"/>
        <w:jc w:val="both"/>
        <w:rPr>
          <w:u w:val="none"/>
        </w:rPr>
      </w:pPr>
      <w:r w:rsidDel="00000000" w:rsidR="00000000" w:rsidRPr="00000000">
        <w:rPr>
          <w:rFonts w:ascii="Arial" w:cs="Arial" w:eastAsia="Arial" w:hAnsi="Arial"/>
          <w:u w:val="none"/>
          <w:rtl w:val="0"/>
        </w:rPr>
        <w:t xml:space="preserve">Company/FI /Co-operative’s Profile: </w:t>
      </w:r>
    </w:p>
    <w:p w:rsidR="00000000" w:rsidDel="00000000" w:rsidP="00000000" w:rsidRDefault="00000000" w:rsidRPr="00000000" w14:paraId="00000105">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821"/>
        </w:tabs>
        <w:spacing w:after="0" w:before="0" w:line="360" w:lineRule="auto"/>
        <w:ind w:left="821" w:right="0"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Financial Profile (consolidated / standalone as applicable):</w:t>
      </w:r>
    </w:p>
    <w:p w:rsidR="00000000" w:rsidDel="00000000" w:rsidP="00000000" w:rsidRDefault="00000000" w:rsidRPr="00000000" w14:paraId="00000106">
      <w:pPr>
        <w:spacing w:line="360" w:lineRule="auto"/>
        <w:ind w:left="821" w:right="111"/>
        <w:jc w:val="both"/>
        <w:rPr>
          <w:rFonts w:ascii="Arial" w:cs="Arial" w:eastAsia="Arial" w:hAnsi="Arial"/>
          <w:i w:val="1"/>
          <w:sz w:val="24"/>
          <w:szCs w:val="24"/>
        </w:rPr>
      </w:pPr>
      <w:bookmarkStart w:colFirst="0" w:colLast="0" w:name="_gjdgxs" w:id="0"/>
      <w:bookmarkEnd w:id="0"/>
      <w:r w:rsidDel="00000000" w:rsidR="00000000" w:rsidRPr="00000000">
        <w:rPr>
          <w:rFonts w:ascii="Arial" w:cs="Arial" w:eastAsia="Arial" w:hAnsi="Arial"/>
          <w:i w:val="1"/>
          <w:sz w:val="24"/>
          <w:szCs w:val="24"/>
          <w:rtl w:val="0"/>
        </w:rPr>
        <w:t xml:space="preserve">[Note: Where the entity submitting the EOI is a financial investor /fund entity, please provide details pertaining to “assets under management” and/or “committed funds’ for the preceding three years or the committed funds available as on March 31, 2019, for investment].</w:t>
      </w:r>
    </w:p>
    <w:p w:rsidR="00000000" w:rsidDel="00000000" w:rsidP="00000000" w:rsidRDefault="00000000" w:rsidRPr="00000000" w14:paraId="00000107">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821"/>
        </w:tabs>
        <w:spacing w:after="0" w:before="0" w:line="360" w:lineRule="auto"/>
        <w:ind w:left="821" w:right="0"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the Company in the relevant sector.</w:t>
      </w:r>
    </w:p>
    <w:p w:rsidR="00000000" w:rsidDel="00000000" w:rsidP="00000000" w:rsidRDefault="00000000" w:rsidRPr="00000000" w14:paraId="00000108">
      <w:pPr>
        <w:keepNext w:val="0"/>
        <w:keepLines w:val="0"/>
        <w:widowControl w:val="0"/>
        <w:numPr>
          <w:ilvl w:val="1"/>
          <w:numId w:val="8"/>
        </w:numPr>
        <w:pBdr>
          <w:top w:space="0" w:sz="0" w:val="nil"/>
          <w:left w:space="0" w:sz="0" w:val="nil"/>
          <w:bottom w:space="0" w:sz="0" w:val="nil"/>
          <w:right w:space="0" w:sz="0" w:val="nil"/>
          <w:between w:space="0" w:sz="0" w:val="nil"/>
        </w:pBdr>
        <w:shd w:fill="auto" w:val="clear"/>
        <w:tabs>
          <w:tab w:val="left" w:pos="821"/>
        </w:tabs>
        <w:spacing w:after="0" w:before="2" w:line="360" w:lineRule="auto"/>
        <w:ind w:left="821" w:right="110" w:hanging="361"/>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History if any, of the Company or affiliates of the Company being declared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willful defaulter’, ‘non-cooperative borrower’, ‘non-impaired asset’ or ‘non-performing asset’.</w:t>
      </w:r>
    </w:p>
    <w:p w:rsidR="00000000" w:rsidDel="00000000" w:rsidP="00000000" w:rsidRDefault="00000000" w:rsidRPr="00000000" w14:paraId="00000109">
      <w:pPr>
        <w:pStyle w:val="Heading1"/>
        <w:numPr>
          <w:ilvl w:val="0"/>
          <w:numId w:val="8"/>
        </w:numPr>
        <w:tabs>
          <w:tab w:val="left" w:pos="461"/>
        </w:tabs>
        <w:spacing w:line="360" w:lineRule="auto"/>
        <w:ind w:left="460" w:hanging="360"/>
        <w:jc w:val="both"/>
        <w:rPr>
          <w:u w:val="none"/>
        </w:rPr>
      </w:pPr>
      <w:r w:rsidDel="00000000" w:rsidR="00000000" w:rsidRPr="00000000">
        <w:rPr>
          <w:rFonts w:ascii="Arial" w:cs="Arial" w:eastAsia="Arial" w:hAnsi="Arial"/>
          <w:u w:val="none"/>
          <w:rtl w:val="0"/>
        </w:rPr>
        <w:t xml:space="preserve">Profile of Cooperative Society of Homebuyers (wherever applicable)</w:t>
      </w:r>
    </w:p>
    <w:sectPr>
      <w:type w:val="nextPage"/>
      <w:pgSz w:h="16840" w:w="11910"/>
      <w:pgMar w:bottom="280" w:top="1340" w:left="1340" w:right="132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Noto Sans Symbols"/>
  <w:font w:name="Courier New"/>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7">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8">
    <w:lvl w:ilvl="0">
      <w:start w:val="1"/>
      <w:numFmt w:val="decimal"/>
      <w:lvlText w:val="%1."/>
      <w:lvlJc w:val="left"/>
      <w:pPr>
        <w:ind w:left="460" w:hanging="360"/>
      </w:pPr>
      <w:rPr>
        <w:rFonts w:ascii="Calibri" w:cs="Calibri" w:eastAsia="Calibri" w:hAnsi="Calibri"/>
        <w:b w:val="1"/>
        <w:sz w:val="24"/>
        <w:szCs w:val="24"/>
      </w:rPr>
    </w:lvl>
    <w:lvl w:ilvl="1">
      <w:start w:val="1"/>
      <w:numFmt w:val="lowerLetter"/>
      <w:lvlText w:val="%2."/>
      <w:lvlJc w:val="left"/>
      <w:pPr>
        <w:ind w:left="1050" w:hanging="230"/>
      </w:pPr>
      <w:rPr>
        <w:rFonts w:ascii="Times New Roman" w:cs="Times New Roman" w:eastAsia="Times New Roman" w:hAnsi="Times New Roman"/>
        <w:sz w:val="24"/>
        <w:szCs w:val="24"/>
      </w:rPr>
    </w:lvl>
    <w:lvl w:ilvl="2">
      <w:start w:val="1"/>
      <w:numFmt w:val="bullet"/>
      <w:lvlText w:val="•"/>
      <w:lvlJc w:val="left"/>
      <w:pPr>
        <w:ind w:left="820" w:hanging="230"/>
      </w:pPr>
      <w:rPr/>
    </w:lvl>
    <w:lvl w:ilvl="3">
      <w:start w:val="1"/>
      <w:numFmt w:val="bullet"/>
      <w:lvlText w:val="•"/>
      <w:lvlJc w:val="left"/>
      <w:pPr>
        <w:ind w:left="1060" w:hanging="230"/>
      </w:pPr>
      <w:rPr/>
    </w:lvl>
    <w:lvl w:ilvl="4">
      <w:start w:val="1"/>
      <w:numFmt w:val="bullet"/>
      <w:lvlText w:val="•"/>
      <w:lvlJc w:val="left"/>
      <w:pPr>
        <w:ind w:left="2229" w:hanging="230"/>
      </w:pPr>
      <w:rPr/>
    </w:lvl>
    <w:lvl w:ilvl="5">
      <w:start w:val="1"/>
      <w:numFmt w:val="bullet"/>
      <w:lvlText w:val="•"/>
      <w:lvlJc w:val="left"/>
      <w:pPr>
        <w:ind w:left="3398" w:hanging="230"/>
      </w:pPr>
      <w:rPr/>
    </w:lvl>
    <w:lvl w:ilvl="6">
      <w:start w:val="1"/>
      <w:numFmt w:val="bullet"/>
      <w:lvlText w:val="•"/>
      <w:lvlJc w:val="left"/>
      <w:pPr>
        <w:ind w:left="4567" w:hanging="230"/>
      </w:pPr>
      <w:rPr/>
    </w:lvl>
    <w:lvl w:ilvl="7">
      <w:start w:val="1"/>
      <w:numFmt w:val="bullet"/>
      <w:lvlText w:val="•"/>
      <w:lvlJc w:val="left"/>
      <w:pPr>
        <w:ind w:left="5736" w:hanging="230"/>
      </w:pPr>
      <w:rPr/>
    </w:lvl>
    <w:lvl w:ilvl="8">
      <w:start w:val="1"/>
      <w:numFmt w:val="bullet"/>
      <w:lvlText w:val="•"/>
      <w:lvlJc w:val="left"/>
      <w:pPr>
        <w:ind w:left="6905" w:hanging="230"/>
      </w:pPr>
      <w:rPr/>
    </w:lvl>
  </w:abstractNum>
  <w:abstractNum w:abstractNumId="9">
    <w:lvl w:ilvl="0">
      <w:start w:val="1"/>
      <w:numFmt w:val="lowerLetter"/>
      <w:lvlText w:val="(%1)"/>
      <w:lvlJc w:val="left"/>
      <w:pPr>
        <w:ind w:left="460" w:hanging="360"/>
      </w:pPr>
      <w:rPr>
        <w:rFonts w:ascii="Calibri" w:cs="Calibri" w:eastAsia="Calibri" w:hAnsi="Calibri"/>
        <w:sz w:val="24"/>
        <w:szCs w:val="24"/>
      </w:rPr>
    </w:lvl>
    <w:lvl w:ilvl="1">
      <w:start w:val="1"/>
      <w:numFmt w:val="decimal"/>
      <w:lvlText w:val="%2)"/>
      <w:lvlJc w:val="left"/>
      <w:pPr>
        <w:ind w:left="821" w:hanging="361.00000000000006"/>
      </w:pPr>
      <w:rPr>
        <w:rFonts w:ascii="Times New Roman" w:cs="Times New Roman" w:eastAsia="Times New Roman" w:hAnsi="Times New Roman"/>
        <w:sz w:val="24"/>
        <w:szCs w:val="24"/>
      </w:rPr>
    </w:lvl>
    <w:lvl w:ilvl="2">
      <w:start w:val="1"/>
      <w:numFmt w:val="bullet"/>
      <w:lvlText w:val="•"/>
      <w:lvlJc w:val="left"/>
      <w:pPr>
        <w:ind w:left="1756" w:hanging="361"/>
      </w:pPr>
      <w:rPr/>
    </w:lvl>
    <w:lvl w:ilvl="3">
      <w:start w:val="1"/>
      <w:numFmt w:val="bullet"/>
      <w:lvlText w:val="•"/>
      <w:lvlJc w:val="left"/>
      <w:pPr>
        <w:ind w:left="2692" w:hanging="361"/>
      </w:pPr>
      <w:rPr/>
    </w:lvl>
    <w:lvl w:ilvl="4">
      <w:start w:val="1"/>
      <w:numFmt w:val="bullet"/>
      <w:lvlText w:val="•"/>
      <w:lvlJc w:val="left"/>
      <w:pPr>
        <w:ind w:left="3628" w:hanging="361"/>
      </w:pPr>
      <w:rPr/>
    </w:lvl>
    <w:lvl w:ilvl="5">
      <w:start w:val="1"/>
      <w:numFmt w:val="bullet"/>
      <w:lvlText w:val="•"/>
      <w:lvlJc w:val="left"/>
      <w:pPr>
        <w:ind w:left="4564" w:hanging="361"/>
      </w:pPr>
      <w:rPr/>
    </w:lvl>
    <w:lvl w:ilvl="6">
      <w:start w:val="1"/>
      <w:numFmt w:val="bullet"/>
      <w:lvlText w:val="•"/>
      <w:lvlJc w:val="left"/>
      <w:pPr>
        <w:ind w:left="5500" w:hanging="361"/>
      </w:pPr>
      <w:rPr/>
    </w:lvl>
    <w:lvl w:ilvl="7">
      <w:start w:val="1"/>
      <w:numFmt w:val="bullet"/>
      <w:lvlText w:val="•"/>
      <w:lvlJc w:val="left"/>
      <w:pPr>
        <w:ind w:left="6436" w:hanging="361"/>
      </w:pPr>
      <w:rPr/>
    </w:lvl>
    <w:lvl w:ilvl="8">
      <w:start w:val="1"/>
      <w:numFmt w:val="bullet"/>
      <w:lvlText w:val="•"/>
      <w:lvlJc w:val="left"/>
      <w:pPr>
        <w:ind w:left="7372" w:hanging="361"/>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14">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60"/>
    </w:pPr>
    <w:rPr>
      <w:b w:val="1"/>
      <w:sz w:val="24"/>
      <w:szCs w:val="24"/>
      <w:u w:val="single"/>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p.dreamprocon@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